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E21" w:rsidRDefault="00FE645E">
      <w:pPr>
        <w:pStyle w:val="Heading1"/>
        <w:spacing w:after="98"/>
        <w:ind w:left="-6" w:right="1072"/>
      </w:pPr>
      <w:r>
        <w:t>Memorandum</w:t>
      </w:r>
      <w:r>
        <w:rPr>
          <w:b/>
        </w:rPr>
        <w:t xml:space="preserve">                                                                    Annex C </w:t>
      </w:r>
    </w:p>
    <w:p w:rsidR="00B82E21" w:rsidRDefault="00FE645E">
      <w:pPr>
        <w:spacing w:after="28" w:line="259" w:lineRule="auto"/>
        <w:ind w:right="960"/>
        <w:jc w:val="right"/>
      </w:pPr>
      <w:r>
        <w:rPr>
          <w:sz w:val="16"/>
        </w:rPr>
        <w:t xml:space="preserve"> South East Blackburn Scheme </w:t>
      </w:r>
    </w:p>
    <w:p w:rsidR="00B82E21" w:rsidRDefault="00FE645E">
      <w:pPr>
        <w:spacing w:after="35" w:line="259" w:lineRule="auto"/>
        <w:ind w:left="2920" w:firstLine="0"/>
        <w:jc w:val="center"/>
      </w:pPr>
      <w:r>
        <w:rPr>
          <w:sz w:val="16"/>
        </w:rPr>
        <w:t xml:space="preserve"> </w:t>
      </w:r>
    </w:p>
    <w:p w:rsidR="00B82E21" w:rsidRDefault="00FE645E">
      <w:pPr>
        <w:spacing w:after="78" w:line="259" w:lineRule="auto"/>
        <w:ind w:left="0" w:firstLine="0"/>
      </w:pPr>
      <w:r>
        <w:rPr>
          <w:sz w:val="16"/>
        </w:rPr>
        <w:t xml:space="preserve"> </w:t>
      </w:r>
    </w:p>
    <w:p w:rsidR="00B82E21" w:rsidRDefault="00FE645E">
      <w:pPr>
        <w:pStyle w:val="Heading2"/>
        <w:spacing w:after="188"/>
        <w:ind w:left="0" w:firstLine="0"/>
      </w:pPr>
      <w:r>
        <w:rPr>
          <w:sz w:val="24"/>
        </w:rPr>
        <w:t xml:space="preserve">Economic Outputs Assessment </w:t>
      </w:r>
    </w:p>
    <w:p w:rsidR="00B82E21" w:rsidRDefault="00FE645E">
      <w:pPr>
        <w:spacing w:after="231"/>
        <w:ind w:left="-5"/>
      </w:pPr>
      <w:r>
        <w:t xml:space="preserve">As part of our assurance of the SOBC documentation, a review was undertaken of the economic outputs that were provided to support the Economic Case. </w:t>
      </w:r>
    </w:p>
    <w:p w:rsidR="00B82E21" w:rsidRDefault="00FE645E">
      <w:pPr>
        <w:ind w:left="-5"/>
      </w:pPr>
      <w:r>
        <w:t xml:space="preserve">A short summary of our review is provided below, indicating: </w:t>
      </w:r>
    </w:p>
    <w:p w:rsidR="00B82E21" w:rsidRDefault="00FE645E">
      <w:pPr>
        <w:numPr>
          <w:ilvl w:val="0"/>
          <w:numId w:val="1"/>
        </w:numPr>
        <w:spacing w:after="11"/>
        <w:ind w:hanging="425"/>
      </w:pPr>
      <w:r>
        <w:t xml:space="preserve">Which Economic Outputs have been assessed; </w:t>
      </w:r>
    </w:p>
    <w:p w:rsidR="00B82E21" w:rsidRDefault="00FE645E">
      <w:pPr>
        <w:numPr>
          <w:ilvl w:val="0"/>
          <w:numId w:val="1"/>
        </w:numPr>
        <w:spacing w:after="8"/>
        <w:ind w:hanging="425"/>
      </w:pPr>
      <w:r>
        <w:t xml:space="preserve">Which specific sites are in scope; </w:t>
      </w:r>
    </w:p>
    <w:p w:rsidR="00B82E21" w:rsidRDefault="00FE645E">
      <w:pPr>
        <w:numPr>
          <w:ilvl w:val="0"/>
          <w:numId w:val="1"/>
        </w:numPr>
        <w:spacing w:after="9"/>
        <w:ind w:hanging="425"/>
      </w:pPr>
      <w:r>
        <w:t xml:space="preserve">The basis of the calculations for each output; </w:t>
      </w:r>
    </w:p>
    <w:p w:rsidR="00B82E21" w:rsidRDefault="00FE645E">
      <w:pPr>
        <w:numPr>
          <w:ilvl w:val="0"/>
          <w:numId w:val="1"/>
        </w:numPr>
        <w:spacing w:after="11"/>
        <w:ind w:hanging="425"/>
      </w:pPr>
      <w:r>
        <w:t xml:space="preserve">How the economic outputs will be delivered; </w:t>
      </w:r>
    </w:p>
    <w:p w:rsidR="00B82E21" w:rsidRDefault="00FE645E">
      <w:pPr>
        <w:numPr>
          <w:ilvl w:val="0"/>
          <w:numId w:val="1"/>
        </w:numPr>
        <w:spacing w:after="9"/>
        <w:ind w:hanging="425"/>
      </w:pPr>
      <w:r>
        <w:t>Certainty of delivery</w:t>
      </w:r>
      <w:r>
        <w:t xml:space="preserve">; and </w:t>
      </w:r>
    </w:p>
    <w:p w:rsidR="00B82E21" w:rsidRDefault="00FE645E">
      <w:pPr>
        <w:numPr>
          <w:ilvl w:val="0"/>
          <w:numId w:val="1"/>
        </w:numPr>
        <w:spacing w:after="231"/>
        <w:ind w:hanging="425"/>
      </w:pPr>
      <w:r>
        <w:t xml:space="preserve">Monitoring and evaluation arrangements. </w:t>
      </w:r>
    </w:p>
    <w:p w:rsidR="00B82E21" w:rsidRDefault="00FE645E">
      <w:pPr>
        <w:pStyle w:val="Heading3"/>
        <w:ind w:left="-5"/>
      </w:pPr>
      <w:r>
        <w:t xml:space="preserve">Economic Outputs </w:t>
      </w:r>
    </w:p>
    <w:p w:rsidR="00B82E21" w:rsidRDefault="00FE645E">
      <w:pPr>
        <w:ind w:left="-5"/>
      </w:pPr>
      <w:r>
        <w:t xml:space="preserve">The following outputs have been assessed as part of the South East Blackburn Scheme, reflecting the requirements of the LEP: </w:t>
      </w:r>
    </w:p>
    <w:p w:rsidR="00B82E21" w:rsidRDefault="00FE645E">
      <w:pPr>
        <w:numPr>
          <w:ilvl w:val="0"/>
          <w:numId w:val="2"/>
        </w:numPr>
        <w:spacing w:after="11"/>
        <w:ind w:hanging="425"/>
      </w:pPr>
      <w:r>
        <w:t xml:space="preserve">Housing Units; </w:t>
      </w:r>
    </w:p>
    <w:p w:rsidR="00B82E21" w:rsidRDefault="00FE645E">
      <w:pPr>
        <w:numPr>
          <w:ilvl w:val="0"/>
          <w:numId w:val="2"/>
        </w:numPr>
        <w:spacing w:after="8"/>
        <w:ind w:hanging="425"/>
      </w:pPr>
      <w:r>
        <w:t xml:space="preserve">Private Sector Investment; </w:t>
      </w:r>
    </w:p>
    <w:p w:rsidR="00B82E21" w:rsidRDefault="00FE645E">
      <w:pPr>
        <w:numPr>
          <w:ilvl w:val="0"/>
          <w:numId w:val="2"/>
        </w:numPr>
        <w:spacing w:after="11"/>
        <w:ind w:hanging="425"/>
      </w:pPr>
      <w:r>
        <w:t xml:space="preserve">Jobs; </w:t>
      </w:r>
    </w:p>
    <w:p w:rsidR="00B82E21" w:rsidRDefault="00FE645E">
      <w:pPr>
        <w:numPr>
          <w:ilvl w:val="0"/>
          <w:numId w:val="2"/>
        </w:numPr>
        <w:spacing w:after="232"/>
        <w:ind w:hanging="425"/>
      </w:pPr>
      <w:r>
        <w:t xml:space="preserve">Commercial Floor Space; and </w:t>
      </w: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t xml:space="preserve">GVA. </w:t>
      </w:r>
    </w:p>
    <w:p w:rsidR="00B82E21" w:rsidRDefault="00FE645E" w:rsidP="00FE645E">
      <w:pPr>
        <w:spacing w:after="6888"/>
        <w:ind w:left="-5"/>
        <w:sectPr w:rsidR="00B82E21">
          <w:pgSz w:w="11906" w:h="16841"/>
          <w:pgMar w:top="1440" w:right="1437" w:bottom="1440" w:left="1440" w:header="720" w:footer="720" w:gutter="0"/>
          <w:cols w:space="720"/>
        </w:sectPr>
      </w:pPr>
      <w:r>
        <w:rPr>
          <w:noProof/>
          <w:sz w:val="22"/>
        </w:rPr>
        <mc:AlternateContent>
          <mc:Choice Requires="wpg">
            <w:drawing>
              <wp:anchor distT="0" distB="0" distL="114300" distR="114300" simplePos="0" relativeHeight="251658240" behindDoc="0" locked="0" layoutInCell="1" allowOverlap="1">
                <wp:simplePos x="0" y="0"/>
                <wp:positionH relativeFrom="page">
                  <wp:posOffset>914400</wp:posOffset>
                </wp:positionH>
                <wp:positionV relativeFrom="page">
                  <wp:posOffset>431800</wp:posOffset>
                </wp:positionV>
                <wp:extent cx="1635379" cy="381000"/>
                <wp:effectExtent l="0" t="0" r="0" b="0"/>
                <wp:wrapSquare wrapText="bothSides"/>
                <wp:docPr id="5612" name="Group 5612"/>
                <wp:cNvGraphicFramePr/>
                <a:graphic xmlns:a="http://schemas.openxmlformats.org/drawingml/2006/main">
                  <a:graphicData uri="http://schemas.microsoft.com/office/word/2010/wordprocessingGroup">
                    <wpg:wgp>
                      <wpg:cNvGrpSpPr/>
                      <wpg:grpSpPr>
                        <a:xfrm>
                          <a:off x="0" y="0"/>
                          <a:ext cx="1635379" cy="381000"/>
                          <a:chOff x="0" y="0"/>
                          <a:chExt cx="1635379" cy="381000"/>
                        </a:xfrm>
                      </wpg:grpSpPr>
                      <wps:wsp>
                        <wps:cNvPr id="6" name="Rectangle 6"/>
                        <wps:cNvSpPr/>
                        <wps:spPr>
                          <a:xfrm>
                            <a:off x="305" y="55742"/>
                            <a:ext cx="64699" cy="269581"/>
                          </a:xfrm>
                          <a:prstGeom prst="rect">
                            <a:avLst/>
                          </a:prstGeom>
                          <a:ln>
                            <a:noFill/>
                          </a:ln>
                        </wps:spPr>
                        <wps:txbx>
                          <w:txbxContent>
                            <w:p w:rsidR="00B82E21" w:rsidRDefault="00FE645E">
                              <w:pPr>
                                <w:spacing w:after="160" w:line="259" w:lineRule="auto"/>
                                <w:ind w:left="0" w:firstLine="0"/>
                              </w:pPr>
                              <w:r>
                                <w:rPr>
                                  <w:b/>
                                  <w:color w:val="6C6F70"/>
                                  <w:sz w:val="32"/>
                                </w:rPr>
                                <w:t xml:space="preserve"> </w:t>
                              </w:r>
                            </w:p>
                          </w:txbxContent>
                        </wps:txbx>
                        <wps:bodyPr horzOverflow="overflow" vert="horz" lIns="0" tIns="0" rIns="0" bIns="0" rtlCol="0">
                          <a:noAutofit/>
                        </wps:bodyPr>
                      </wps:wsp>
                      <wps:wsp>
                        <wps:cNvPr id="7683" name="Shape 7683"/>
                        <wps:cNvSpPr/>
                        <wps:spPr>
                          <a:xfrm>
                            <a:off x="0" y="0"/>
                            <a:ext cx="1635379" cy="381000"/>
                          </a:xfrm>
                          <a:custGeom>
                            <a:avLst/>
                            <a:gdLst/>
                            <a:ahLst/>
                            <a:cxnLst/>
                            <a:rect l="0" t="0" r="0" b="0"/>
                            <a:pathLst>
                              <a:path w="1635379" h="381000">
                                <a:moveTo>
                                  <a:pt x="0" y="0"/>
                                </a:moveTo>
                                <a:lnTo>
                                  <a:pt x="1635379" y="0"/>
                                </a:lnTo>
                                <a:lnTo>
                                  <a:pt x="1635379" y="381000"/>
                                </a:lnTo>
                                <a:lnTo>
                                  <a:pt x="0" y="381000"/>
                                </a:lnTo>
                                <a:lnTo>
                                  <a:pt x="0" y="0"/>
                                </a:lnTo>
                              </a:path>
                            </a:pathLst>
                          </a:custGeom>
                          <a:ln w="0" cap="flat">
                            <a:miter lim="127000"/>
                          </a:ln>
                        </wps:spPr>
                        <wps:style>
                          <a:lnRef idx="0">
                            <a:srgbClr val="000000">
                              <a:alpha val="0"/>
                            </a:srgbClr>
                          </a:lnRef>
                          <a:fillRef idx="1">
                            <a:srgbClr val="E6E5E3"/>
                          </a:fillRef>
                          <a:effectRef idx="0">
                            <a:scrgbClr r="0" g="0" b="0"/>
                          </a:effectRef>
                          <a:fontRef idx="none"/>
                        </wps:style>
                        <wps:bodyPr/>
                      </wps:wsp>
                      <pic:pic xmlns:pic="http://schemas.openxmlformats.org/drawingml/2006/picture">
                        <pic:nvPicPr>
                          <pic:cNvPr id="24" name="Picture 24"/>
                          <pic:cNvPicPr/>
                        </pic:nvPicPr>
                        <pic:blipFill>
                          <a:blip r:embed="rId5"/>
                          <a:stretch>
                            <a:fillRect/>
                          </a:stretch>
                        </pic:blipFill>
                        <pic:spPr>
                          <a:xfrm>
                            <a:off x="0" y="0"/>
                            <a:ext cx="1635379" cy="381000"/>
                          </a:xfrm>
                          <a:prstGeom prst="rect">
                            <a:avLst/>
                          </a:prstGeom>
                        </pic:spPr>
                      </pic:pic>
                    </wpg:wgp>
                  </a:graphicData>
                </a:graphic>
              </wp:anchor>
            </w:drawing>
          </mc:Choice>
          <mc:Fallback xmlns:a="http://schemas.openxmlformats.org/drawingml/2006/main">
            <w:pict>
              <v:group id="Group 5612" style="width:128.77pt;height:30pt;position:absolute;mso-position-horizontal-relative:page;mso-position-horizontal:absolute;margin-left:72pt;mso-position-vertical-relative:page;margin-top:34pt;" coordsize="16353,3810">
                <v:rect id="Rectangle 6" style="position:absolute;width:646;height:2695;left:3;top:557;" filled="f" stroked="f">
                  <v:textbox inset="0,0,0,0">
                    <w:txbxContent>
                      <w:p>
                        <w:pPr>
                          <w:spacing w:before="0" w:after="160" w:line="259" w:lineRule="auto"/>
                          <w:ind w:left="0" w:firstLine="0"/>
                        </w:pPr>
                        <w:r>
                          <w:rPr>
                            <w:rFonts w:cs="Calibri" w:hAnsi="Calibri" w:eastAsia="Calibri" w:ascii="Calibri"/>
                            <w:b w:val="1"/>
                            <w:color w:val="6c6f70"/>
                            <w:sz w:val="32"/>
                          </w:rPr>
                          <w:t xml:space="preserve"> </w:t>
                        </w:r>
                      </w:p>
                    </w:txbxContent>
                  </v:textbox>
                </v:rect>
                <v:shape id="Shape 7684" style="position:absolute;width:16353;height:3810;left:0;top:0;" coordsize="1635379,381000" path="m0,0l1635379,0l1635379,381000l0,381000l0,0">
                  <v:stroke weight="0pt" endcap="flat" joinstyle="miter" miterlimit="10" on="false" color="#000000" opacity="0"/>
                  <v:fill on="true" color="#e6e5e3"/>
                </v:shape>
                <v:shape id="Picture 24" style="position:absolute;width:16353;height:3810;left:0;top:0;" filled="f">
                  <v:imagedata r:id="rId6"/>
                </v:shape>
                <w10:wrap type="square"/>
              </v:group>
            </w:pict>
          </mc:Fallback>
        </mc:AlternateContent>
      </w:r>
      <w:r>
        <w:t xml:space="preserve">The South East Blackburn scheme is forecast to directly unlock 11 nearby development sites, comprising both residential and commercial uses, as shown on the plan overleaf: </w:t>
      </w:r>
      <w:r>
        <w:rPr>
          <w:color w:val="808080"/>
          <w:sz w:val="16"/>
        </w:rPr>
        <w:t xml:space="preserve"> </w:t>
      </w:r>
    </w:p>
    <w:p w:rsidR="00B82E21" w:rsidRDefault="00FE645E" w:rsidP="00FE645E">
      <w:pPr>
        <w:spacing w:after="551" w:line="259" w:lineRule="auto"/>
        <w:ind w:left="-14" w:right="-489" w:firstLine="0"/>
      </w:pPr>
      <w:r>
        <w:rPr>
          <w:noProof/>
          <w:sz w:val="22"/>
        </w:rPr>
        <w:lastRenderedPageBreak/>
        <mc:AlternateContent>
          <mc:Choice Requires="wpg">
            <w:drawing>
              <wp:inline distT="0" distB="0" distL="0" distR="0">
                <wp:extent cx="9803892" cy="5831703"/>
                <wp:effectExtent l="0" t="0" r="0" b="0"/>
                <wp:docPr id="5527" name="Group 5527"/>
                <wp:cNvGraphicFramePr/>
                <a:graphic xmlns:a="http://schemas.openxmlformats.org/drawingml/2006/main">
                  <a:graphicData uri="http://schemas.microsoft.com/office/word/2010/wordprocessingGroup">
                    <wpg:wgp>
                      <wpg:cNvGrpSpPr/>
                      <wpg:grpSpPr>
                        <a:xfrm>
                          <a:off x="0" y="0"/>
                          <a:ext cx="9803892" cy="5831703"/>
                          <a:chOff x="0" y="0"/>
                          <a:chExt cx="9803892" cy="5831703"/>
                        </a:xfrm>
                      </wpg:grpSpPr>
                      <wps:wsp>
                        <wps:cNvPr id="99" name="Rectangle 99"/>
                        <wps:cNvSpPr/>
                        <wps:spPr>
                          <a:xfrm>
                            <a:off x="9144" y="256677"/>
                            <a:ext cx="32593" cy="135803"/>
                          </a:xfrm>
                          <a:prstGeom prst="rect">
                            <a:avLst/>
                          </a:prstGeom>
                          <a:ln>
                            <a:noFill/>
                          </a:ln>
                        </wps:spPr>
                        <wps:txbx>
                          <w:txbxContent>
                            <w:p w:rsidR="00B82E21" w:rsidRDefault="00FE645E">
                              <w:pPr>
                                <w:spacing w:after="160" w:line="259" w:lineRule="auto"/>
                                <w:ind w:left="0" w:firstLine="0"/>
                              </w:pPr>
                              <w:r>
                                <w:rPr>
                                  <w:sz w:val="16"/>
                                </w:rPr>
                                <w:t xml:space="preserve"> </w:t>
                              </w:r>
                            </w:p>
                          </w:txbxContent>
                        </wps:txbx>
                        <wps:bodyPr horzOverflow="overflow" vert="horz" lIns="0" tIns="0" rIns="0" bIns="0" rtlCol="0">
                          <a:noAutofit/>
                        </wps:bodyPr>
                      </wps:wsp>
                      <wps:wsp>
                        <wps:cNvPr id="7685" name="Shape 7685"/>
                        <wps:cNvSpPr/>
                        <wps:spPr>
                          <a:xfrm>
                            <a:off x="0" y="469900"/>
                            <a:ext cx="6633719" cy="12192"/>
                          </a:xfrm>
                          <a:custGeom>
                            <a:avLst/>
                            <a:gdLst/>
                            <a:ahLst/>
                            <a:cxnLst/>
                            <a:rect l="0" t="0" r="0" b="0"/>
                            <a:pathLst>
                              <a:path w="6633719" h="12192">
                                <a:moveTo>
                                  <a:pt x="0" y="0"/>
                                </a:moveTo>
                                <a:lnTo>
                                  <a:pt x="6633719" y="0"/>
                                </a:lnTo>
                                <a:lnTo>
                                  <a:pt x="6633719" y="12192"/>
                                </a:lnTo>
                                <a:lnTo>
                                  <a:pt x="0" y="12192"/>
                                </a:lnTo>
                                <a:lnTo>
                                  <a:pt x="0" y="0"/>
                                </a:lnTo>
                              </a:path>
                            </a:pathLst>
                          </a:custGeom>
                          <a:ln w="0" cap="flat">
                            <a:miter lim="127000"/>
                          </a:ln>
                        </wps:spPr>
                        <wps:style>
                          <a:lnRef idx="0">
                            <a:srgbClr val="000000">
                              <a:alpha val="0"/>
                            </a:srgbClr>
                          </a:lnRef>
                          <a:fillRef idx="1">
                            <a:srgbClr val="2314DC"/>
                          </a:fillRef>
                          <a:effectRef idx="0">
                            <a:scrgbClr r="0" g="0" b="0"/>
                          </a:effectRef>
                          <a:fontRef idx="none"/>
                        </wps:style>
                        <wps:bodyPr/>
                      </wps:wsp>
                      <wps:wsp>
                        <wps:cNvPr id="7686" name="Shape 7686"/>
                        <wps:cNvSpPr/>
                        <wps:spPr>
                          <a:xfrm>
                            <a:off x="6624574" y="46990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314DC"/>
                          </a:fillRef>
                          <a:effectRef idx="0">
                            <a:scrgbClr r="0" g="0" b="0"/>
                          </a:effectRef>
                          <a:fontRef idx="none"/>
                        </wps:style>
                        <wps:bodyPr/>
                      </wps:wsp>
                      <wps:wsp>
                        <wps:cNvPr id="7687" name="Shape 7687"/>
                        <wps:cNvSpPr/>
                        <wps:spPr>
                          <a:xfrm>
                            <a:off x="6636766" y="469900"/>
                            <a:ext cx="3167126" cy="12192"/>
                          </a:xfrm>
                          <a:custGeom>
                            <a:avLst/>
                            <a:gdLst/>
                            <a:ahLst/>
                            <a:cxnLst/>
                            <a:rect l="0" t="0" r="0" b="0"/>
                            <a:pathLst>
                              <a:path w="3167126" h="12192">
                                <a:moveTo>
                                  <a:pt x="0" y="0"/>
                                </a:moveTo>
                                <a:lnTo>
                                  <a:pt x="3167126" y="0"/>
                                </a:lnTo>
                                <a:lnTo>
                                  <a:pt x="3167126" y="12192"/>
                                </a:lnTo>
                                <a:lnTo>
                                  <a:pt x="0" y="12192"/>
                                </a:lnTo>
                                <a:lnTo>
                                  <a:pt x="0" y="0"/>
                                </a:lnTo>
                              </a:path>
                            </a:pathLst>
                          </a:custGeom>
                          <a:ln w="0" cap="flat">
                            <a:miter lim="127000"/>
                          </a:ln>
                        </wps:spPr>
                        <wps:style>
                          <a:lnRef idx="0">
                            <a:srgbClr val="000000">
                              <a:alpha val="0"/>
                            </a:srgbClr>
                          </a:lnRef>
                          <a:fillRef idx="1">
                            <a:srgbClr val="2314DC"/>
                          </a:fillRef>
                          <a:effectRef idx="0">
                            <a:scrgbClr r="0" g="0" b="0"/>
                          </a:effectRef>
                          <a:fontRef idx="none"/>
                        </wps:style>
                        <wps:bodyPr/>
                      </wps:wsp>
                      <wps:wsp>
                        <wps:cNvPr id="103" name="Rectangle 103"/>
                        <wps:cNvSpPr/>
                        <wps:spPr>
                          <a:xfrm>
                            <a:off x="9144" y="595112"/>
                            <a:ext cx="3892" cy="16215"/>
                          </a:xfrm>
                          <a:prstGeom prst="rect">
                            <a:avLst/>
                          </a:prstGeom>
                          <a:ln>
                            <a:noFill/>
                          </a:ln>
                        </wps:spPr>
                        <wps:txbx>
                          <w:txbxContent>
                            <w:p w:rsidR="00B82E21" w:rsidRDefault="00FE645E">
                              <w:pPr>
                                <w:spacing w:after="160" w:line="259" w:lineRule="auto"/>
                                <w:ind w:left="0" w:firstLine="0"/>
                              </w:pPr>
                              <w:r>
                                <w:rPr>
                                  <w:sz w:val="2"/>
                                </w:rPr>
                                <w:t xml:space="preserve"> </w:t>
                              </w:r>
                            </w:p>
                          </w:txbxContent>
                        </wps:txbx>
                        <wps:bodyPr horzOverflow="overflow" vert="horz" lIns="0" tIns="0" rIns="0" bIns="0" rtlCol="0">
                          <a:noAutofit/>
                        </wps:bodyPr>
                      </wps:wsp>
                      <wps:wsp>
                        <wps:cNvPr id="104" name="Rectangle 104"/>
                        <wps:cNvSpPr/>
                        <wps:spPr>
                          <a:xfrm>
                            <a:off x="9144" y="681873"/>
                            <a:ext cx="32593" cy="135804"/>
                          </a:xfrm>
                          <a:prstGeom prst="rect">
                            <a:avLst/>
                          </a:prstGeom>
                          <a:ln>
                            <a:noFill/>
                          </a:ln>
                        </wps:spPr>
                        <wps:txbx>
                          <w:txbxContent>
                            <w:p w:rsidR="00B82E21" w:rsidRDefault="00FE645E">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118" name="Picture 118"/>
                          <pic:cNvPicPr/>
                        </pic:nvPicPr>
                        <pic:blipFill>
                          <a:blip r:embed="rId7"/>
                          <a:stretch>
                            <a:fillRect/>
                          </a:stretch>
                        </pic:blipFill>
                        <pic:spPr>
                          <a:xfrm>
                            <a:off x="8564880" y="0"/>
                            <a:ext cx="1234440" cy="284480"/>
                          </a:xfrm>
                          <a:prstGeom prst="rect">
                            <a:avLst/>
                          </a:prstGeom>
                        </pic:spPr>
                      </pic:pic>
                      <wps:wsp>
                        <wps:cNvPr id="119" name="Rectangle 119"/>
                        <wps:cNvSpPr/>
                        <wps:spPr>
                          <a:xfrm>
                            <a:off x="9630156" y="5426065"/>
                            <a:ext cx="40376" cy="168234"/>
                          </a:xfrm>
                          <a:prstGeom prst="rect">
                            <a:avLst/>
                          </a:prstGeom>
                          <a:ln>
                            <a:noFill/>
                          </a:ln>
                        </wps:spPr>
                        <wps:txbx>
                          <w:txbxContent>
                            <w:p w:rsidR="00B82E21" w:rsidRDefault="00FE645E">
                              <w:pPr>
                                <w:spacing w:after="160" w:line="259" w:lineRule="auto"/>
                                <w:ind w:left="0" w:firstLine="0"/>
                              </w:pPr>
                              <w:r>
                                <w:t xml:space="preserve"> </w:t>
                              </w:r>
                            </w:p>
                          </w:txbxContent>
                        </wps:txbx>
                        <wps:bodyPr horzOverflow="overflow" vert="horz" lIns="0" tIns="0" rIns="0" bIns="0" rtlCol="0">
                          <a:noAutofit/>
                        </wps:bodyPr>
                      </wps:wsp>
                      <wps:wsp>
                        <wps:cNvPr id="120" name="Rectangle 120"/>
                        <wps:cNvSpPr/>
                        <wps:spPr>
                          <a:xfrm>
                            <a:off x="9144" y="5705211"/>
                            <a:ext cx="40376" cy="168234"/>
                          </a:xfrm>
                          <a:prstGeom prst="rect">
                            <a:avLst/>
                          </a:prstGeom>
                          <a:ln>
                            <a:noFill/>
                          </a:ln>
                        </wps:spPr>
                        <wps:txbx>
                          <w:txbxContent>
                            <w:p w:rsidR="00B82E21" w:rsidRDefault="00FE645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8"/>
                          <a:stretch>
                            <a:fillRect/>
                          </a:stretch>
                        </pic:blipFill>
                        <pic:spPr>
                          <a:xfrm>
                            <a:off x="9525" y="862330"/>
                            <a:ext cx="9619615" cy="4653915"/>
                          </a:xfrm>
                          <a:prstGeom prst="rect">
                            <a:avLst/>
                          </a:prstGeom>
                        </pic:spPr>
                      </pic:pic>
                    </wpg:wgp>
                  </a:graphicData>
                </a:graphic>
              </wp:inline>
            </w:drawing>
          </mc:Choice>
          <mc:Fallback xmlns:a="http://schemas.openxmlformats.org/drawingml/2006/main">
            <w:pict>
              <v:group id="Group 5527" style="width:771.96pt;height:459.189pt;mso-position-horizontal-relative:char;mso-position-vertical-relative:line" coordsize="98038,58317">
                <v:rect id="Rectangle 99" style="position:absolute;width:325;height:1358;left:91;top:2566;" filled="f" stroked="f">
                  <v:textbox inset="0,0,0,0">
                    <w:txbxContent>
                      <w:p>
                        <w:pPr>
                          <w:spacing w:before="0" w:after="160" w:line="259" w:lineRule="auto"/>
                          <w:ind w:left="0" w:firstLine="0"/>
                        </w:pPr>
                        <w:r>
                          <w:rPr>
                            <w:sz w:val="16"/>
                          </w:rPr>
                          <w:t xml:space="preserve"> </w:t>
                        </w:r>
                      </w:p>
                    </w:txbxContent>
                  </v:textbox>
                </v:rect>
                <v:shape id="Shape 7688" style="position:absolute;width:66337;height:121;left:0;top:4699;" coordsize="6633719,12192" path="m0,0l6633719,0l6633719,12192l0,12192l0,0">
                  <v:stroke weight="0pt" endcap="flat" joinstyle="miter" miterlimit="10" on="false" color="#000000" opacity="0"/>
                  <v:fill on="true" color="#2314dc"/>
                </v:shape>
                <v:shape id="Shape 7689" style="position:absolute;width:121;height:121;left:66245;top:4699;" coordsize="12192,12192" path="m0,0l12192,0l12192,12192l0,12192l0,0">
                  <v:stroke weight="0pt" endcap="flat" joinstyle="miter" miterlimit="10" on="false" color="#000000" opacity="0"/>
                  <v:fill on="true" color="#2314dc"/>
                </v:shape>
                <v:shape id="Shape 7690" style="position:absolute;width:31671;height:121;left:66367;top:4699;" coordsize="3167126,12192" path="m0,0l3167126,0l3167126,12192l0,12192l0,0">
                  <v:stroke weight="0pt" endcap="flat" joinstyle="miter" miterlimit="10" on="false" color="#000000" opacity="0"/>
                  <v:fill on="true" color="#2314dc"/>
                </v:shape>
                <v:rect id="Rectangle 103" style="position:absolute;width:38;height:162;left:91;top:5951;" filled="f" stroked="f">
                  <v:textbox inset="0,0,0,0">
                    <w:txbxContent>
                      <w:p>
                        <w:pPr>
                          <w:spacing w:before="0" w:after="160" w:line="259" w:lineRule="auto"/>
                          <w:ind w:left="0" w:firstLine="0"/>
                        </w:pPr>
                        <w:r>
                          <w:rPr>
                            <w:sz w:val="2"/>
                          </w:rPr>
                          <w:t xml:space="preserve"> </w:t>
                        </w:r>
                      </w:p>
                    </w:txbxContent>
                  </v:textbox>
                </v:rect>
                <v:rect id="Rectangle 104" style="position:absolute;width:325;height:1358;left:91;top:6818;" filled="f" stroked="f">
                  <v:textbox inset="0,0,0,0">
                    <w:txbxContent>
                      <w:p>
                        <w:pPr>
                          <w:spacing w:before="0" w:after="160" w:line="259" w:lineRule="auto"/>
                          <w:ind w:left="0" w:firstLine="0"/>
                        </w:pPr>
                        <w:r>
                          <w:rPr>
                            <w:sz w:val="16"/>
                          </w:rPr>
                          <w:t xml:space="preserve"> </w:t>
                        </w:r>
                      </w:p>
                    </w:txbxContent>
                  </v:textbox>
                </v:rect>
                <v:shape id="Picture 118" style="position:absolute;width:12344;height:2844;left:85648;top:0;" filled="f">
                  <v:imagedata r:id="rId9"/>
                </v:shape>
                <v:rect id="Rectangle 119" style="position:absolute;width:403;height:1682;left:96301;top:54260;" filled="f" stroked="f">
                  <v:textbox inset="0,0,0,0">
                    <w:txbxContent>
                      <w:p>
                        <w:pPr>
                          <w:spacing w:before="0" w:after="160" w:line="259" w:lineRule="auto"/>
                          <w:ind w:left="0" w:firstLine="0"/>
                        </w:pPr>
                        <w:r>
                          <w:rPr/>
                          <w:t xml:space="preserve"> </w:t>
                        </w:r>
                      </w:p>
                    </w:txbxContent>
                  </v:textbox>
                </v:rect>
                <v:rect id="Rectangle 120" style="position:absolute;width:403;height:1682;left:91;top:57052;" filled="f" stroked="f">
                  <v:textbox inset="0,0,0,0">
                    <w:txbxContent>
                      <w:p>
                        <w:pPr>
                          <w:spacing w:before="0" w:after="160" w:line="259" w:lineRule="auto"/>
                          <w:ind w:left="0" w:firstLine="0"/>
                        </w:pPr>
                        <w:r>
                          <w:rPr/>
                          <w:t xml:space="preserve"> </w:t>
                        </w:r>
                      </w:p>
                    </w:txbxContent>
                  </v:textbox>
                </v:rect>
                <v:shape id="Picture 122" style="position:absolute;width:96196;height:46539;left:95;top:8623;" filled="f">
                  <v:imagedata r:id="rId10"/>
                </v:shape>
              </v:group>
            </w:pict>
          </mc:Fallback>
        </mc:AlternateContent>
      </w:r>
      <w:bookmarkStart w:id="0" w:name="_GoBack"/>
      <w:bookmarkEnd w:id="0"/>
      <w:r>
        <w:rPr>
          <w:color w:val="808080"/>
          <w:sz w:val="16"/>
        </w:rPr>
        <w:t xml:space="preserve"> </w:t>
      </w:r>
      <w:r>
        <w:rPr>
          <w:color w:val="808080"/>
          <w:sz w:val="16"/>
        </w:rPr>
        <w:t xml:space="preserve"> </w:t>
      </w:r>
    </w:p>
    <w:p w:rsidR="00B82E21" w:rsidRDefault="00B82E21">
      <w:pPr>
        <w:sectPr w:rsidR="00B82E21">
          <w:pgSz w:w="16841" w:h="11906" w:orient="landscape"/>
          <w:pgMar w:top="962" w:right="1339" w:bottom="1440" w:left="566" w:header="720" w:footer="720" w:gutter="0"/>
          <w:cols w:space="720"/>
        </w:sectPr>
      </w:pPr>
    </w:p>
    <w:p w:rsidR="00B82E21" w:rsidRDefault="00FE645E">
      <w:pPr>
        <w:pStyle w:val="Heading1"/>
        <w:tabs>
          <w:tab w:val="center" w:pos="6941"/>
        </w:tabs>
        <w:ind w:left="-16" w:right="0" w:firstLine="0"/>
        <w:jc w:val="left"/>
      </w:pPr>
      <w:r>
        <w:rPr>
          <w:noProof/>
          <w:sz w:val="22"/>
        </w:rPr>
        <w:lastRenderedPageBreak/>
        <mc:AlternateContent>
          <mc:Choice Requires="wpg">
            <w:drawing>
              <wp:inline distT="0" distB="0" distL="0" distR="0">
                <wp:extent cx="1635379" cy="381000"/>
                <wp:effectExtent l="0" t="0" r="0" b="0"/>
                <wp:docPr id="7195" name="Group 7195"/>
                <wp:cNvGraphicFramePr/>
                <a:graphic xmlns:a="http://schemas.openxmlformats.org/drawingml/2006/main">
                  <a:graphicData uri="http://schemas.microsoft.com/office/word/2010/wordprocessingGroup">
                    <wpg:wgp>
                      <wpg:cNvGrpSpPr/>
                      <wpg:grpSpPr>
                        <a:xfrm>
                          <a:off x="0" y="0"/>
                          <a:ext cx="1635379" cy="381000"/>
                          <a:chOff x="0" y="0"/>
                          <a:chExt cx="1635379" cy="381000"/>
                        </a:xfrm>
                      </wpg:grpSpPr>
                      <wps:wsp>
                        <wps:cNvPr id="125" name="Rectangle 125"/>
                        <wps:cNvSpPr/>
                        <wps:spPr>
                          <a:xfrm>
                            <a:off x="305" y="55742"/>
                            <a:ext cx="64699" cy="269581"/>
                          </a:xfrm>
                          <a:prstGeom prst="rect">
                            <a:avLst/>
                          </a:prstGeom>
                          <a:ln>
                            <a:noFill/>
                          </a:ln>
                        </wps:spPr>
                        <wps:txbx>
                          <w:txbxContent>
                            <w:p w:rsidR="00B82E21" w:rsidRDefault="00FE645E">
                              <w:pPr>
                                <w:spacing w:after="160" w:line="259" w:lineRule="auto"/>
                                <w:ind w:left="0" w:firstLine="0"/>
                              </w:pPr>
                              <w:r>
                                <w:rPr>
                                  <w:b/>
                                  <w:color w:val="6C6F70"/>
                                  <w:sz w:val="32"/>
                                </w:rPr>
                                <w:t xml:space="preserve"> </w:t>
                              </w:r>
                            </w:p>
                          </w:txbxContent>
                        </wps:txbx>
                        <wps:bodyPr horzOverflow="overflow" vert="horz" lIns="0" tIns="0" rIns="0" bIns="0" rtlCol="0">
                          <a:noAutofit/>
                        </wps:bodyPr>
                      </wps:wsp>
                      <wps:wsp>
                        <wps:cNvPr id="7691" name="Shape 7691"/>
                        <wps:cNvSpPr/>
                        <wps:spPr>
                          <a:xfrm>
                            <a:off x="0" y="0"/>
                            <a:ext cx="1635379" cy="381000"/>
                          </a:xfrm>
                          <a:custGeom>
                            <a:avLst/>
                            <a:gdLst/>
                            <a:ahLst/>
                            <a:cxnLst/>
                            <a:rect l="0" t="0" r="0" b="0"/>
                            <a:pathLst>
                              <a:path w="1635379" h="381000">
                                <a:moveTo>
                                  <a:pt x="0" y="0"/>
                                </a:moveTo>
                                <a:lnTo>
                                  <a:pt x="1635379" y="0"/>
                                </a:lnTo>
                                <a:lnTo>
                                  <a:pt x="1635379" y="381000"/>
                                </a:lnTo>
                                <a:lnTo>
                                  <a:pt x="0" y="381000"/>
                                </a:lnTo>
                                <a:lnTo>
                                  <a:pt x="0" y="0"/>
                                </a:lnTo>
                              </a:path>
                            </a:pathLst>
                          </a:custGeom>
                          <a:ln w="0" cap="flat">
                            <a:miter lim="127000"/>
                          </a:ln>
                        </wps:spPr>
                        <wps:style>
                          <a:lnRef idx="0">
                            <a:srgbClr val="000000">
                              <a:alpha val="0"/>
                            </a:srgbClr>
                          </a:lnRef>
                          <a:fillRef idx="1">
                            <a:srgbClr val="E6E5E3"/>
                          </a:fillRef>
                          <a:effectRef idx="0">
                            <a:scrgbClr r="0" g="0" b="0"/>
                          </a:effectRef>
                          <a:fontRef idx="none"/>
                        </wps:style>
                        <wps:bodyPr/>
                      </wps:wsp>
                      <pic:pic xmlns:pic="http://schemas.openxmlformats.org/drawingml/2006/picture">
                        <pic:nvPicPr>
                          <pic:cNvPr id="144" name="Picture 144"/>
                          <pic:cNvPicPr/>
                        </pic:nvPicPr>
                        <pic:blipFill>
                          <a:blip r:embed="rId5"/>
                          <a:stretch>
                            <a:fillRect/>
                          </a:stretch>
                        </pic:blipFill>
                        <pic:spPr>
                          <a:xfrm>
                            <a:off x="0" y="0"/>
                            <a:ext cx="1635379" cy="381000"/>
                          </a:xfrm>
                          <a:prstGeom prst="rect">
                            <a:avLst/>
                          </a:prstGeom>
                        </pic:spPr>
                      </pic:pic>
                    </wpg:wgp>
                  </a:graphicData>
                </a:graphic>
              </wp:inline>
            </w:drawing>
          </mc:Choice>
          <mc:Fallback xmlns:a="http://schemas.openxmlformats.org/drawingml/2006/main">
            <w:pict>
              <v:group id="Group 7195" style="width:128.77pt;height:30pt;mso-position-horizontal-relative:char;mso-position-vertical-relative:line" coordsize="16353,3810">
                <v:rect id="Rectangle 125" style="position:absolute;width:646;height:2695;left:3;top:557;" filled="f" stroked="f">
                  <v:textbox inset="0,0,0,0">
                    <w:txbxContent>
                      <w:p>
                        <w:pPr>
                          <w:spacing w:before="0" w:after="160" w:line="259" w:lineRule="auto"/>
                          <w:ind w:left="0" w:firstLine="0"/>
                        </w:pPr>
                        <w:r>
                          <w:rPr>
                            <w:rFonts w:cs="Calibri" w:hAnsi="Calibri" w:eastAsia="Calibri" w:ascii="Calibri"/>
                            <w:b w:val="1"/>
                            <w:color w:val="6c6f70"/>
                            <w:sz w:val="32"/>
                          </w:rPr>
                          <w:t xml:space="preserve"> </w:t>
                        </w:r>
                      </w:p>
                    </w:txbxContent>
                  </v:textbox>
                </v:rect>
                <v:shape id="Shape 7692" style="position:absolute;width:16353;height:3810;left:0;top:0;" coordsize="1635379,381000" path="m0,0l1635379,0l1635379,381000l0,381000l0,0">
                  <v:stroke weight="0pt" endcap="flat" joinstyle="miter" miterlimit="10" on="false" color="#000000" opacity="0"/>
                  <v:fill on="true" color="#e6e5e3"/>
                </v:shape>
                <v:shape id="Picture 144" style="position:absolute;width:16353;height:3810;left:0;top:0;" filled="f">
                  <v:imagedata r:id="rId6"/>
                </v:shape>
              </v:group>
            </w:pict>
          </mc:Fallback>
        </mc:AlternateContent>
      </w:r>
      <w:r>
        <w:tab/>
        <w:t>Memorandum</w:t>
      </w:r>
      <w:r>
        <w:rPr>
          <w:b/>
        </w:rPr>
        <w:t xml:space="preserve"> </w:t>
      </w:r>
    </w:p>
    <w:p w:rsidR="00B82E21" w:rsidRDefault="00FE645E">
      <w:pPr>
        <w:spacing w:after="28" w:line="259" w:lineRule="auto"/>
        <w:ind w:right="960"/>
        <w:jc w:val="right"/>
      </w:pPr>
      <w:r>
        <w:rPr>
          <w:sz w:val="16"/>
        </w:rPr>
        <w:t xml:space="preserve"> </w:t>
      </w:r>
      <w:r>
        <w:rPr>
          <w:sz w:val="16"/>
        </w:rPr>
        <w:t xml:space="preserve">South East Blackburn Scheme </w:t>
      </w:r>
    </w:p>
    <w:p w:rsidR="00B82E21" w:rsidRDefault="00FE645E">
      <w:pPr>
        <w:spacing w:after="122" w:line="302" w:lineRule="auto"/>
        <w:ind w:left="0" w:right="3035" w:firstLine="0"/>
      </w:pPr>
      <w:r>
        <w:rPr>
          <w:sz w:val="16"/>
        </w:rPr>
        <w:t xml:space="preserve">  </w:t>
      </w:r>
    </w:p>
    <w:p w:rsidR="00B82E21" w:rsidRDefault="00FE645E">
      <w:pPr>
        <w:spacing w:after="233" w:line="259" w:lineRule="auto"/>
        <w:ind w:left="-5"/>
      </w:pPr>
      <w:r>
        <w:rPr>
          <w:b/>
        </w:rPr>
        <w:t xml:space="preserve">Calculations </w:t>
      </w:r>
    </w:p>
    <w:p w:rsidR="00B82E21" w:rsidRDefault="00FE645E">
      <w:pPr>
        <w:spacing w:after="230"/>
        <w:ind w:left="-5"/>
      </w:pPr>
      <w:r>
        <w:t xml:space="preserve">The assumptions for each site are shown in the table below: </w:t>
      </w:r>
    </w:p>
    <w:p w:rsidR="00B82E21" w:rsidRDefault="00FE645E">
      <w:pPr>
        <w:pStyle w:val="Heading2"/>
        <w:spacing w:after="0"/>
        <w:ind w:left="-5"/>
      </w:pPr>
      <w:r>
        <w:t xml:space="preserve">Table C1 </w:t>
      </w:r>
      <w:r>
        <w:t>–</w:t>
      </w:r>
      <w:r>
        <w:t xml:space="preserve"> Development sites dependent on the South East Blackburn Scheme  </w:t>
      </w:r>
    </w:p>
    <w:tbl>
      <w:tblPr>
        <w:tblStyle w:val="TableGrid"/>
        <w:tblW w:w="9004" w:type="dxa"/>
        <w:tblInd w:w="12" w:type="dxa"/>
        <w:tblCellMar>
          <w:top w:w="126" w:type="dxa"/>
          <w:left w:w="84" w:type="dxa"/>
          <w:bottom w:w="0" w:type="dxa"/>
          <w:right w:w="40" w:type="dxa"/>
        </w:tblCellMar>
        <w:tblLook w:val="04A0" w:firstRow="1" w:lastRow="0" w:firstColumn="1" w:lastColumn="0" w:noHBand="0" w:noVBand="1"/>
      </w:tblPr>
      <w:tblGrid>
        <w:gridCol w:w="2682"/>
        <w:gridCol w:w="1493"/>
        <w:gridCol w:w="1202"/>
        <w:gridCol w:w="1203"/>
        <w:gridCol w:w="1202"/>
        <w:gridCol w:w="1222"/>
      </w:tblGrid>
      <w:tr w:rsidR="00B82E21">
        <w:trPr>
          <w:trHeight w:val="728"/>
        </w:trPr>
        <w:tc>
          <w:tcPr>
            <w:tcW w:w="2681" w:type="dxa"/>
            <w:tcBorders>
              <w:top w:val="single" w:sz="8" w:space="0" w:color="000000"/>
              <w:left w:val="single" w:sz="8" w:space="0" w:color="000000"/>
              <w:bottom w:val="single" w:sz="8" w:space="0" w:color="000000"/>
              <w:right w:val="single" w:sz="8" w:space="0" w:color="000000"/>
            </w:tcBorders>
            <w:shd w:val="clear" w:color="auto" w:fill="C8C8C8"/>
          </w:tcPr>
          <w:p w:rsidR="00B82E21" w:rsidRDefault="00FE645E">
            <w:pPr>
              <w:spacing w:after="0" w:line="259" w:lineRule="auto"/>
              <w:ind w:left="0" w:firstLine="0"/>
            </w:pPr>
            <w:r>
              <w:rPr>
                <w:b/>
              </w:rPr>
              <w:t xml:space="preserve">Site </w:t>
            </w:r>
          </w:p>
        </w:tc>
        <w:tc>
          <w:tcPr>
            <w:tcW w:w="1493" w:type="dxa"/>
            <w:tcBorders>
              <w:top w:val="single" w:sz="8" w:space="0" w:color="000000"/>
              <w:left w:val="single" w:sz="8" w:space="0" w:color="000000"/>
              <w:bottom w:val="single" w:sz="8" w:space="0" w:color="000000"/>
              <w:right w:val="single" w:sz="8" w:space="0" w:color="000000"/>
            </w:tcBorders>
            <w:shd w:val="clear" w:color="auto" w:fill="C8C8C8"/>
          </w:tcPr>
          <w:p w:rsidR="00B82E21" w:rsidRDefault="00FE645E">
            <w:pPr>
              <w:spacing w:after="0" w:line="259" w:lineRule="auto"/>
              <w:ind w:left="0" w:firstLine="0"/>
            </w:pPr>
            <w:r>
              <w:rPr>
                <w:b/>
              </w:rPr>
              <w:t xml:space="preserve">Site Area </w:t>
            </w:r>
            <w:r>
              <w:rPr>
                <w:b/>
              </w:rPr>
              <w:t xml:space="preserve">(Ha) </w:t>
            </w:r>
          </w:p>
        </w:tc>
        <w:tc>
          <w:tcPr>
            <w:tcW w:w="1202" w:type="dxa"/>
            <w:tcBorders>
              <w:top w:val="single" w:sz="8" w:space="0" w:color="000000"/>
              <w:left w:val="single" w:sz="8" w:space="0" w:color="000000"/>
              <w:bottom w:val="single" w:sz="8" w:space="0" w:color="000000"/>
              <w:right w:val="single" w:sz="8" w:space="0" w:color="000000"/>
            </w:tcBorders>
            <w:shd w:val="clear" w:color="auto" w:fill="C8C8C8"/>
          </w:tcPr>
          <w:p w:rsidR="00B82E21" w:rsidRDefault="00FE645E">
            <w:pPr>
              <w:spacing w:after="0" w:line="259" w:lineRule="auto"/>
              <w:ind w:left="2" w:firstLine="0"/>
            </w:pPr>
            <w:r>
              <w:rPr>
                <w:b/>
              </w:rPr>
              <w:t xml:space="preserve">Dwellings </w:t>
            </w:r>
          </w:p>
        </w:tc>
        <w:tc>
          <w:tcPr>
            <w:tcW w:w="1203" w:type="dxa"/>
            <w:tcBorders>
              <w:top w:val="single" w:sz="8" w:space="0" w:color="000000"/>
              <w:left w:val="single" w:sz="8" w:space="0" w:color="000000"/>
              <w:bottom w:val="single" w:sz="8" w:space="0" w:color="000000"/>
              <w:right w:val="single" w:sz="8" w:space="0" w:color="000000"/>
            </w:tcBorders>
            <w:shd w:val="clear" w:color="auto" w:fill="C8C8C8"/>
          </w:tcPr>
          <w:p w:rsidR="00B82E21" w:rsidRDefault="00FE645E">
            <w:pPr>
              <w:spacing w:after="0" w:line="259" w:lineRule="auto"/>
              <w:ind w:left="0" w:firstLine="0"/>
              <w:jc w:val="both"/>
            </w:pPr>
            <w:proofErr w:type="spellStart"/>
            <w:r>
              <w:rPr>
                <w:b/>
              </w:rPr>
              <w:t>Floorspace</w:t>
            </w:r>
            <w:proofErr w:type="spellEnd"/>
            <w:r>
              <w:rPr>
                <w:b/>
              </w:rPr>
              <w:t xml:space="preserve"> </w:t>
            </w:r>
          </w:p>
        </w:tc>
        <w:tc>
          <w:tcPr>
            <w:tcW w:w="1202" w:type="dxa"/>
            <w:tcBorders>
              <w:top w:val="single" w:sz="8" w:space="0" w:color="000000"/>
              <w:left w:val="single" w:sz="8" w:space="0" w:color="000000"/>
              <w:bottom w:val="single" w:sz="8" w:space="0" w:color="000000"/>
              <w:right w:val="single" w:sz="8" w:space="0" w:color="000000"/>
            </w:tcBorders>
            <w:shd w:val="clear" w:color="auto" w:fill="C8C8C8"/>
          </w:tcPr>
          <w:p w:rsidR="00B82E21" w:rsidRDefault="00FE645E">
            <w:pPr>
              <w:spacing w:after="0" w:line="259" w:lineRule="auto"/>
              <w:ind w:left="0" w:firstLine="0"/>
            </w:pPr>
            <w:r>
              <w:rPr>
                <w:b/>
              </w:rPr>
              <w:t xml:space="preserve">Jobs </w:t>
            </w:r>
          </w:p>
        </w:tc>
        <w:tc>
          <w:tcPr>
            <w:tcW w:w="1222" w:type="dxa"/>
            <w:tcBorders>
              <w:top w:val="single" w:sz="8" w:space="0" w:color="000000"/>
              <w:left w:val="single" w:sz="8" w:space="0" w:color="000000"/>
              <w:bottom w:val="single" w:sz="8" w:space="0" w:color="000000"/>
              <w:right w:val="single" w:sz="8" w:space="0" w:color="000000"/>
            </w:tcBorders>
            <w:shd w:val="clear" w:color="auto" w:fill="C8C8C8"/>
            <w:vAlign w:val="center"/>
          </w:tcPr>
          <w:p w:rsidR="00B82E21" w:rsidRDefault="00FE645E">
            <w:pPr>
              <w:spacing w:after="0" w:line="259" w:lineRule="auto"/>
              <w:ind w:left="0" w:firstLine="0"/>
              <w:jc w:val="both"/>
            </w:pPr>
            <w:r>
              <w:rPr>
                <w:b/>
              </w:rPr>
              <w:t xml:space="preserve">Completion </w:t>
            </w:r>
          </w:p>
          <w:p w:rsidR="00B82E21" w:rsidRDefault="00FE645E">
            <w:pPr>
              <w:spacing w:after="0" w:line="259" w:lineRule="auto"/>
              <w:ind w:left="0" w:firstLine="0"/>
            </w:pPr>
            <w:r>
              <w:rPr>
                <w:b/>
              </w:rPr>
              <w:t xml:space="preserve">Year </w:t>
            </w:r>
          </w:p>
        </w:tc>
      </w:tr>
      <w:tr w:rsidR="00B82E21">
        <w:trPr>
          <w:trHeight w:val="651"/>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r>
              <w:t xml:space="preserve">Blackamoor Road </w:t>
            </w:r>
          </w:p>
          <w:p w:rsidR="00B82E21" w:rsidRDefault="00FE645E">
            <w:pPr>
              <w:spacing w:after="0" w:line="259" w:lineRule="auto"/>
              <w:ind w:left="0" w:firstLine="0"/>
            </w:pPr>
            <w:r>
              <w:t xml:space="preserve">Development Site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6.82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37,600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1044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2025 </w:t>
            </w:r>
          </w:p>
        </w:tc>
      </w:tr>
      <w:tr w:rsidR="00B82E21">
        <w:trPr>
          <w:trHeight w:val="650"/>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r>
              <w:t xml:space="preserve">Blackamoor Road </w:t>
            </w:r>
          </w:p>
          <w:p w:rsidR="00B82E21" w:rsidRDefault="00FE645E">
            <w:pPr>
              <w:spacing w:after="0" w:line="259" w:lineRule="auto"/>
              <w:ind w:left="0" w:firstLine="0"/>
            </w:pPr>
            <w:r>
              <w:t xml:space="preserve">Development Site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2.17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70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2025 </w:t>
            </w:r>
          </w:p>
        </w:tc>
      </w:tr>
      <w:tr w:rsidR="00B82E21">
        <w:trPr>
          <w:trHeight w:val="650"/>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proofErr w:type="spellStart"/>
            <w:r>
              <w:t>Fishmoor</w:t>
            </w:r>
            <w:proofErr w:type="spellEnd"/>
            <w:r>
              <w:t xml:space="preserve"> Drive (Parcel 1) - </w:t>
            </w:r>
          </w:p>
          <w:p w:rsidR="00B82E21" w:rsidRDefault="00FE645E">
            <w:pPr>
              <w:spacing w:after="0" w:line="259" w:lineRule="auto"/>
              <w:ind w:left="0" w:firstLine="0"/>
            </w:pPr>
            <w:r>
              <w:t xml:space="preserve">Former THL Land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4.80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201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2025 </w:t>
            </w:r>
          </w:p>
        </w:tc>
      </w:tr>
      <w:tr w:rsidR="00B82E21">
        <w:trPr>
          <w:trHeight w:val="650"/>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proofErr w:type="spellStart"/>
            <w:r>
              <w:t>Fishmoor</w:t>
            </w:r>
            <w:proofErr w:type="spellEnd"/>
            <w:r>
              <w:t xml:space="preserve"> Drive (Parcel 2) - </w:t>
            </w:r>
          </w:p>
          <w:p w:rsidR="00B82E21" w:rsidRDefault="00FE645E">
            <w:pPr>
              <w:spacing w:after="0" w:line="259" w:lineRule="auto"/>
              <w:ind w:left="0" w:firstLine="0"/>
            </w:pPr>
            <w:r>
              <w:t xml:space="preserve">Former T2000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1.10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65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2023 </w:t>
            </w:r>
          </w:p>
        </w:tc>
      </w:tr>
      <w:tr w:rsidR="00B82E21">
        <w:trPr>
          <w:trHeight w:val="650"/>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proofErr w:type="spellStart"/>
            <w:r>
              <w:t>Fishmoor</w:t>
            </w:r>
            <w:proofErr w:type="spellEnd"/>
            <w:r>
              <w:t xml:space="preserve"> Drive (Parcel 3) </w:t>
            </w:r>
          </w:p>
          <w:p w:rsidR="00B82E21" w:rsidRDefault="00FE645E">
            <w:pPr>
              <w:spacing w:after="0" w:line="259" w:lineRule="auto"/>
              <w:ind w:left="0" w:firstLine="0"/>
            </w:pPr>
            <w:r>
              <w:t xml:space="preserve">Newfield School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3.15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101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2025 </w:t>
            </w:r>
          </w:p>
        </w:tc>
      </w:tr>
      <w:tr w:rsidR="00B82E21">
        <w:trPr>
          <w:trHeight w:val="651"/>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proofErr w:type="spellStart"/>
            <w:r>
              <w:t>Haslingden</w:t>
            </w:r>
            <w:proofErr w:type="spellEnd"/>
            <w:r>
              <w:t xml:space="preserve"> Road (</w:t>
            </w:r>
            <w:proofErr w:type="spellStart"/>
            <w:r>
              <w:t>Fishmoor</w:t>
            </w:r>
            <w:proofErr w:type="spellEnd"/>
            <w:r>
              <w:t xml:space="preserve"> </w:t>
            </w:r>
          </w:p>
          <w:p w:rsidR="00B82E21" w:rsidRDefault="00FE645E">
            <w:pPr>
              <w:spacing w:after="0" w:line="259" w:lineRule="auto"/>
              <w:ind w:left="0" w:firstLine="0"/>
            </w:pPr>
            <w:r>
              <w:t xml:space="preserve">Reservoir) Site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6.90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140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2025 </w:t>
            </w:r>
          </w:p>
        </w:tc>
      </w:tr>
      <w:tr w:rsidR="00B82E21">
        <w:trPr>
          <w:trHeight w:val="396"/>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r>
              <w:t xml:space="preserve">Johnson Road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7.60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70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2021 </w:t>
            </w:r>
          </w:p>
        </w:tc>
      </w:tr>
      <w:tr w:rsidR="00B82E21">
        <w:trPr>
          <w:trHeight w:val="395"/>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proofErr w:type="spellStart"/>
            <w:r>
              <w:t>Medipark</w:t>
            </w:r>
            <w:proofErr w:type="spellEnd"/>
            <w:r>
              <w:t xml:space="preserve"> Site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3.80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18,500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1542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2025 </w:t>
            </w:r>
          </w:p>
        </w:tc>
      </w:tr>
      <w:tr w:rsidR="00B82E21">
        <w:trPr>
          <w:trHeight w:val="650"/>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r>
              <w:t xml:space="preserve">TIBS / </w:t>
            </w:r>
            <w:proofErr w:type="spellStart"/>
            <w:r>
              <w:t>Fmr</w:t>
            </w:r>
            <w:proofErr w:type="spellEnd"/>
            <w:r>
              <w:t xml:space="preserve"> </w:t>
            </w:r>
            <w:proofErr w:type="spellStart"/>
            <w:r>
              <w:t>Blakewater</w:t>
            </w:r>
            <w:proofErr w:type="spellEnd"/>
            <w:r>
              <w:t xml:space="preserve"> </w:t>
            </w:r>
          </w:p>
          <w:p w:rsidR="00B82E21" w:rsidRDefault="00FE645E">
            <w:pPr>
              <w:spacing w:after="0" w:line="259" w:lineRule="auto"/>
              <w:ind w:left="0" w:firstLine="0"/>
            </w:pPr>
            <w:r>
              <w:t xml:space="preserve">College (Employment)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4.00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19,500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542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2025 </w:t>
            </w:r>
          </w:p>
        </w:tc>
      </w:tr>
      <w:tr w:rsidR="00B82E21">
        <w:trPr>
          <w:trHeight w:val="650"/>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r>
              <w:t xml:space="preserve">Waterside Employment Site </w:t>
            </w:r>
          </w:p>
          <w:p w:rsidR="00B82E21" w:rsidRDefault="00FE645E">
            <w:pPr>
              <w:spacing w:after="0" w:line="259" w:lineRule="auto"/>
              <w:ind w:left="0" w:firstLine="0"/>
            </w:pPr>
            <w:r>
              <w:t xml:space="preserve">(Parcel A) - EG Waterside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4.65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11,495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479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2019 </w:t>
            </w:r>
          </w:p>
        </w:tc>
      </w:tr>
      <w:tr w:rsidR="00B82E21">
        <w:trPr>
          <w:trHeight w:val="651"/>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r>
              <w:t xml:space="preserve">Waterside Employment Site </w:t>
            </w:r>
          </w:p>
          <w:p w:rsidR="00B82E21" w:rsidRDefault="00FE645E">
            <w:pPr>
              <w:spacing w:after="0" w:line="259" w:lineRule="auto"/>
              <w:ind w:left="0" w:firstLine="0"/>
            </w:pPr>
            <w:r>
              <w:t xml:space="preserve">(Parcel B)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1.40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t xml:space="preserve">-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4,500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250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t xml:space="preserve">2021 </w:t>
            </w:r>
          </w:p>
        </w:tc>
      </w:tr>
      <w:tr w:rsidR="00B82E21">
        <w:trPr>
          <w:trHeight w:val="392"/>
        </w:trPr>
        <w:tc>
          <w:tcPr>
            <w:tcW w:w="2681" w:type="dxa"/>
            <w:tcBorders>
              <w:top w:val="single" w:sz="8" w:space="0" w:color="000000"/>
              <w:left w:val="single" w:sz="8" w:space="0" w:color="000000"/>
              <w:bottom w:val="single" w:sz="8" w:space="0" w:color="000000"/>
              <w:right w:val="single" w:sz="8" w:space="0" w:color="000000"/>
            </w:tcBorders>
            <w:shd w:val="clear" w:color="auto" w:fill="E5E5E5"/>
          </w:tcPr>
          <w:p w:rsidR="00B82E21" w:rsidRDefault="00FE645E">
            <w:pPr>
              <w:spacing w:after="0" w:line="259" w:lineRule="auto"/>
              <w:ind w:left="0" w:firstLine="0"/>
            </w:pPr>
            <w:r>
              <w:rPr>
                <w:b/>
              </w:rPr>
              <w:t xml:space="preserve">Total </w:t>
            </w:r>
          </w:p>
        </w:tc>
        <w:tc>
          <w:tcPr>
            <w:tcW w:w="149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rPr>
                <w:b/>
              </w:rPr>
              <w:t xml:space="preserve">46.39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2" w:firstLine="0"/>
            </w:pPr>
            <w:r>
              <w:rPr>
                <w:b/>
              </w:rPr>
              <w:t xml:space="preserve">647 </w:t>
            </w:r>
          </w:p>
        </w:tc>
        <w:tc>
          <w:tcPr>
            <w:tcW w:w="1203"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rPr>
                <w:b/>
              </w:rPr>
              <w:t xml:space="preserve">91,595 </w:t>
            </w:r>
          </w:p>
        </w:tc>
        <w:tc>
          <w:tcPr>
            <w:tcW w:w="120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rPr>
                <w:b/>
              </w:rPr>
              <w:t xml:space="preserve">3,857 </w:t>
            </w:r>
          </w:p>
        </w:tc>
        <w:tc>
          <w:tcPr>
            <w:tcW w:w="1222" w:type="dxa"/>
            <w:tcBorders>
              <w:top w:val="single" w:sz="8" w:space="0" w:color="000000"/>
              <w:left w:val="single" w:sz="8" w:space="0" w:color="000000"/>
              <w:bottom w:val="single" w:sz="8" w:space="0" w:color="000000"/>
              <w:right w:val="single" w:sz="8" w:space="0" w:color="000000"/>
            </w:tcBorders>
          </w:tcPr>
          <w:p w:rsidR="00B82E21" w:rsidRDefault="00FE645E">
            <w:pPr>
              <w:spacing w:after="0" w:line="259" w:lineRule="auto"/>
              <w:ind w:left="0" w:firstLine="0"/>
            </w:pPr>
            <w:r>
              <w:rPr>
                <w:b/>
              </w:rPr>
              <w:t xml:space="preserve">- </w:t>
            </w:r>
          </w:p>
        </w:tc>
      </w:tr>
    </w:tbl>
    <w:p w:rsidR="00B82E21" w:rsidRDefault="00FE645E">
      <w:pPr>
        <w:spacing w:after="231"/>
        <w:ind w:left="-5"/>
      </w:pPr>
      <w:proofErr w:type="spellStart"/>
      <w:r>
        <w:t>BwDBC</w:t>
      </w:r>
      <w:proofErr w:type="spellEnd"/>
      <w:r>
        <w:t xml:space="preserve"> have provided the assumptions around how many houses each development site will accommodate and the completion year.  </w:t>
      </w:r>
    </w:p>
    <w:p w:rsidR="00B82E21" w:rsidRDefault="00FE645E">
      <w:pPr>
        <w:ind w:left="-5"/>
      </w:pPr>
      <w:r>
        <w:t xml:space="preserve">The following assumptions and parameters have been used in calculation of the GVA benefits: </w:t>
      </w:r>
    </w:p>
    <w:p w:rsidR="00B82E21" w:rsidRDefault="00FE645E">
      <w:pPr>
        <w:numPr>
          <w:ilvl w:val="0"/>
          <w:numId w:val="3"/>
        </w:numPr>
        <w:ind w:hanging="360"/>
      </w:pPr>
      <w:r>
        <w:t xml:space="preserve">GVA benefit per housing unit: </w:t>
      </w:r>
      <w:r>
        <w:tab/>
        <w:t xml:space="preserve">£10,283 per annum </w:t>
      </w:r>
    </w:p>
    <w:p w:rsidR="00B82E21" w:rsidRDefault="00FE645E">
      <w:pPr>
        <w:numPr>
          <w:ilvl w:val="0"/>
          <w:numId w:val="3"/>
        </w:numPr>
        <w:ind w:hanging="360"/>
      </w:pPr>
      <w:r>
        <w:t xml:space="preserve">GVA benefit per job created: </w:t>
      </w:r>
      <w:r>
        <w:tab/>
        <w:t xml:space="preserve">£20,566 per annum </w:t>
      </w:r>
    </w:p>
    <w:p w:rsidR="00B82E21" w:rsidRDefault="00FE645E">
      <w:pPr>
        <w:numPr>
          <w:ilvl w:val="0"/>
          <w:numId w:val="3"/>
        </w:numPr>
        <w:ind w:hanging="360"/>
      </w:pPr>
      <w:r>
        <w:t xml:space="preserve">Discount rate: </w:t>
      </w:r>
      <w:r>
        <w:tab/>
        <w:t xml:space="preserve"> </w:t>
      </w:r>
      <w:r>
        <w:tab/>
        <w:t xml:space="preserve">3.5% per annum </w:t>
      </w:r>
    </w:p>
    <w:p w:rsidR="00B82E21" w:rsidRDefault="00FE645E">
      <w:pPr>
        <w:numPr>
          <w:ilvl w:val="0"/>
          <w:numId w:val="3"/>
        </w:numPr>
        <w:spacing w:after="233"/>
        <w:ind w:hanging="360"/>
      </w:pPr>
      <w:r>
        <w:t xml:space="preserve">Appraisal period: </w:t>
      </w:r>
      <w:r>
        <w:tab/>
        <w:t xml:space="preserve"> </w:t>
      </w:r>
      <w:r>
        <w:tab/>
        <w:t xml:space="preserve">15 years from scheme opening </w:t>
      </w:r>
    </w:p>
    <w:p w:rsidR="00B82E21" w:rsidRDefault="00FE645E">
      <w:pPr>
        <w:spacing w:after="729"/>
        <w:ind w:left="-5"/>
      </w:pPr>
      <w:r>
        <w:t>The GVA appraisal tables, showing GVA per year and split by site, are pr</w:t>
      </w:r>
      <w:r>
        <w:t>ovided as Appendix N to the SOBC</w:t>
      </w:r>
      <w:r>
        <w:t xml:space="preserve">. </w:t>
      </w:r>
    </w:p>
    <w:p w:rsidR="00B82E21" w:rsidRDefault="00FE645E">
      <w:pPr>
        <w:spacing w:after="28" w:line="259" w:lineRule="auto"/>
        <w:ind w:left="0" w:firstLine="0"/>
      </w:pPr>
      <w:r>
        <w:rPr>
          <w:color w:val="808080"/>
          <w:sz w:val="16"/>
        </w:rPr>
        <w:lastRenderedPageBreak/>
        <w:t xml:space="preserve"> </w:t>
      </w:r>
    </w:p>
    <w:p w:rsidR="00B82E21" w:rsidRDefault="00FE645E" w:rsidP="00FE645E">
      <w:pPr>
        <w:spacing w:after="42" w:line="259" w:lineRule="auto"/>
        <w:ind w:left="0" w:firstLine="0"/>
      </w:pPr>
      <w:r>
        <w:rPr>
          <w:b/>
          <w:color w:val="808080"/>
          <w:sz w:val="16"/>
        </w:rPr>
        <w:t xml:space="preserve"> </w:t>
      </w:r>
      <w:r>
        <w:rPr>
          <w:color w:val="808080"/>
          <w:sz w:val="16"/>
        </w:rPr>
        <w:t xml:space="preserve"> </w:t>
      </w:r>
    </w:p>
    <w:p w:rsidR="00B82E21" w:rsidRDefault="00FE645E">
      <w:pPr>
        <w:pStyle w:val="Heading1"/>
        <w:tabs>
          <w:tab w:val="center" w:pos="6941"/>
        </w:tabs>
        <w:ind w:left="-16" w:right="0" w:firstLine="0"/>
        <w:jc w:val="left"/>
      </w:pPr>
      <w:r>
        <w:rPr>
          <w:noProof/>
          <w:sz w:val="22"/>
        </w:rPr>
        <mc:AlternateContent>
          <mc:Choice Requires="wpg">
            <w:drawing>
              <wp:inline distT="0" distB="0" distL="0" distR="0">
                <wp:extent cx="1635379" cy="381000"/>
                <wp:effectExtent l="0" t="0" r="0" b="0"/>
                <wp:docPr id="5705" name="Group 5705"/>
                <wp:cNvGraphicFramePr/>
                <a:graphic xmlns:a="http://schemas.openxmlformats.org/drawingml/2006/main">
                  <a:graphicData uri="http://schemas.microsoft.com/office/word/2010/wordprocessingGroup">
                    <wpg:wgp>
                      <wpg:cNvGrpSpPr/>
                      <wpg:grpSpPr>
                        <a:xfrm>
                          <a:off x="0" y="0"/>
                          <a:ext cx="1635379" cy="381000"/>
                          <a:chOff x="0" y="0"/>
                          <a:chExt cx="1635379" cy="381000"/>
                        </a:xfrm>
                      </wpg:grpSpPr>
                      <wps:wsp>
                        <wps:cNvPr id="724" name="Rectangle 724"/>
                        <wps:cNvSpPr/>
                        <wps:spPr>
                          <a:xfrm>
                            <a:off x="305" y="55742"/>
                            <a:ext cx="64699" cy="269581"/>
                          </a:xfrm>
                          <a:prstGeom prst="rect">
                            <a:avLst/>
                          </a:prstGeom>
                          <a:ln>
                            <a:noFill/>
                          </a:ln>
                        </wps:spPr>
                        <wps:txbx>
                          <w:txbxContent>
                            <w:p w:rsidR="00B82E21" w:rsidRDefault="00FE645E">
                              <w:pPr>
                                <w:spacing w:after="160" w:line="259" w:lineRule="auto"/>
                                <w:ind w:left="0" w:firstLine="0"/>
                              </w:pPr>
                              <w:r>
                                <w:rPr>
                                  <w:b/>
                                  <w:color w:val="6C6F70"/>
                                  <w:sz w:val="32"/>
                                </w:rPr>
                                <w:t xml:space="preserve"> </w:t>
                              </w:r>
                            </w:p>
                          </w:txbxContent>
                        </wps:txbx>
                        <wps:bodyPr horzOverflow="overflow" vert="horz" lIns="0" tIns="0" rIns="0" bIns="0" rtlCol="0">
                          <a:noAutofit/>
                        </wps:bodyPr>
                      </wps:wsp>
                      <wps:wsp>
                        <wps:cNvPr id="7693" name="Shape 7693"/>
                        <wps:cNvSpPr/>
                        <wps:spPr>
                          <a:xfrm>
                            <a:off x="0" y="0"/>
                            <a:ext cx="1635379" cy="381000"/>
                          </a:xfrm>
                          <a:custGeom>
                            <a:avLst/>
                            <a:gdLst/>
                            <a:ahLst/>
                            <a:cxnLst/>
                            <a:rect l="0" t="0" r="0" b="0"/>
                            <a:pathLst>
                              <a:path w="1635379" h="381000">
                                <a:moveTo>
                                  <a:pt x="0" y="0"/>
                                </a:moveTo>
                                <a:lnTo>
                                  <a:pt x="1635379" y="0"/>
                                </a:lnTo>
                                <a:lnTo>
                                  <a:pt x="1635379" y="381000"/>
                                </a:lnTo>
                                <a:lnTo>
                                  <a:pt x="0" y="381000"/>
                                </a:lnTo>
                                <a:lnTo>
                                  <a:pt x="0" y="0"/>
                                </a:lnTo>
                              </a:path>
                            </a:pathLst>
                          </a:custGeom>
                          <a:ln w="0" cap="flat">
                            <a:miter lim="127000"/>
                          </a:ln>
                        </wps:spPr>
                        <wps:style>
                          <a:lnRef idx="0">
                            <a:srgbClr val="000000">
                              <a:alpha val="0"/>
                            </a:srgbClr>
                          </a:lnRef>
                          <a:fillRef idx="1">
                            <a:srgbClr val="E6E5E3"/>
                          </a:fillRef>
                          <a:effectRef idx="0">
                            <a:scrgbClr r="0" g="0" b="0"/>
                          </a:effectRef>
                          <a:fontRef idx="none"/>
                        </wps:style>
                        <wps:bodyPr/>
                      </wps:wsp>
                      <pic:pic xmlns:pic="http://schemas.openxmlformats.org/drawingml/2006/picture">
                        <pic:nvPicPr>
                          <pic:cNvPr id="742" name="Picture 742"/>
                          <pic:cNvPicPr/>
                        </pic:nvPicPr>
                        <pic:blipFill>
                          <a:blip r:embed="rId5"/>
                          <a:stretch>
                            <a:fillRect/>
                          </a:stretch>
                        </pic:blipFill>
                        <pic:spPr>
                          <a:xfrm>
                            <a:off x="0" y="0"/>
                            <a:ext cx="1635379" cy="381000"/>
                          </a:xfrm>
                          <a:prstGeom prst="rect">
                            <a:avLst/>
                          </a:prstGeom>
                        </pic:spPr>
                      </pic:pic>
                    </wpg:wgp>
                  </a:graphicData>
                </a:graphic>
              </wp:inline>
            </w:drawing>
          </mc:Choice>
          <mc:Fallback xmlns:a="http://schemas.openxmlformats.org/drawingml/2006/main">
            <w:pict>
              <v:group id="Group 5705" style="width:128.77pt;height:30pt;mso-position-horizontal-relative:char;mso-position-vertical-relative:line" coordsize="16353,3810">
                <v:rect id="Rectangle 724" style="position:absolute;width:646;height:2695;left:3;top:557;" filled="f" stroked="f">
                  <v:textbox inset="0,0,0,0">
                    <w:txbxContent>
                      <w:p>
                        <w:pPr>
                          <w:spacing w:before="0" w:after="160" w:line="259" w:lineRule="auto"/>
                          <w:ind w:left="0" w:firstLine="0"/>
                        </w:pPr>
                        <w:r>
                          <w:rPr>
                            <w:rFonts w:cs="Calibri" w:hAnsi="Calibri" w:eastAsia="Calibri" w:ascii="Calibri"/>
                            <w:b w:val="1"/>
                            <w:color w:val="6c6f70"/>
                            <w:sz w:val="32"/>
                          </w:rPr>
                          <w:t xml:space="preserve"> </w:t>
                        </w:r>
                      </w:p>
                    </w:txbxContent>
                  </v:textbox>
                </v:rect>
                <v:shape id="Shape 7694" style="position:absolute;width:16353;height:3810;left:0;top:0;" coordsize="1635379,381000" path="m0,0l1635379,0l1635379,381000l0,381000l0,0">
                  <v:stroke weight="0pt" endcap="flat" joinstyle="miter" miterlimit="10" on="false" color="#000000" opacity="0"/>
                  <v:fill on="true" color="#e6e5e3"/>
                </v:shape>
                <v:shape id="Picture 742" style="position:absolute;width:16353;height:3810;left:0;top:0;" filled="f">
                  <v:imagedata r:id="rId6"/>
                </v:shape>
              </v:group>
            </w:pict>
          </mc:Fallback>
        </mc:AlternateContent>
      </w:r>
      <w:r>
        <w:tab/>
        <w:t>Memorandum</w:t>
      </w:r>
      <w:r>
        <w:rPr>
          <w:b/>
        </w:rPr>
        <w:t xml:space="preserve"> </w:t>
      </w:r>
    </w:p>
    <w:p w:rsidR="00B82E21" w:rsidRDefault="00FE645E">
      <w:pPr>
        <w:spacing w:after="28" w:line="259" w:lineRule="auto"/>
        <w:ind w:right="960"/>
        <w:jc w:val="right"/>
      </w:pPr>
      <w:r>
        <w:rPr>
          <w:sz w:val="16"/>
        </w:rPr>
        <w:t xml:space="preserve"> South East Blackburn Scheme </w:t>
      </w:r>
    </w:p>
    <w:p w:rsidR="00B82E21" w:rsidRDefault="00FE645E">
      <w:pPr>
        <w:spacing w:after="35" w:line="259" w:lineRule="auto"/>
        <w:ind w:left="2920" w:firstLine="0"/>
        <w:jc w:val="center"/>
      </w:pPr>
      <w:r>
        <w:rPr>
          <w:sz w:val="16"/>
        </w:rPr>
        <w:t xml:space="preserve"> </w:t>
      </w:r>
    </w:p>
    <w:p w:rsidR="00B82E21" w:rsidRDefault="00FE645E">
      <w:pPr>
        <w:spacing w:after="38" w:line="259" w:lineRule="auto"/>
        <w:ind w:left="0" w:firstLine="0"/>
      </w:pPr>
      <w:r>
        <w:rPr>
          <w:sz w:val="16"/>
        </w:rPr>
        <w:t xml:space="preserve"> </w:t>
      </w:r>
    </w:p>
    <w:p w:rsidR="00B82E21" w:rsidRDefault="00FE645E">
      <w:pPr>
        <w:spacing w:after="234"/>
        <w:ind w:left="-5"/>
      </w:pPr>
      <w:r>
        <w:t xml:space="preserve">Applying the discount rate to the ‘with scheme’ GVA </w:t>
      </w:r>
      <w:r>
        <w:t xml:space="preserve">benefits and adjusting for </w:t>
      </w:r>
      <w:proofErr w:type="spellStart"/>
      <w:r>
        <w:t>additionality</w:t>
      </w:r>
      <w:proofErr w:type="spellEnd"/>
      <w:r>
        <w:t xml:space="preserve"> (displacement and leakage) using an adjustment factor of 39% </w:t>
      </w:r>
      <w:r>
        <w:t xml:space="preserve">gives a total GVA benefit associated with the South East Blackburn scheme of £240m.  </w:t>
      </w:r>
    </w:p>
    <w:p w:rsidR="00B82E21" w:rsidRDefault="00FE645E">
      <w:pPr>
        <w:pStyle w:val="Heading2"/>
        <w:ind w:left="-5"/>
      </w:pPr>
      <w:r>
        <w:t xml:space="preserve">Certainty of Delivery </w:t>
      </w:r>
    </w:p>
    <w:p w:rsidR="00B82E21" w:rsidRDefault="00FE645E">
      <w:pPr>
        <w:spacing w:after="232"/>
        <w:ind w:left="-5"/>
      </w:pPr>
      <w:r>
        <w:t>The calculation of economic benefits relies on assumptions about investments made by private companies in the future. These assumptions are therefo</w:t>
      </w:r>
      <w:r>
        <w:t>re necessarily subject to uncertainty. In order to best assure the validity of the economic outputs, it is therefore important to base assumptions on the best available data, informed by local knowledge of the appetite of private developers for investment.</w:t>
      </w:r>
      <w:r>
        <w:t xml:space="preserve"> </w:t>
      </w:r>
    </w:p>
    <w:p w:rsidR="00B82E21" w:rsidRDefault="00FE645E">
      <w:pPr>
        <w:pStyle w:val="Heading2"/>
        <w:ind w:left="-5"/>
      </w:pPr>
      <w:r>
        <w:t xml:space="preserve">Monitoring and Evaluation </w:t>
      </w:r>
    </w:p>
    <w:p w:rsidR="00B82E21" w:rsidRDefault="00FE645E">
      <w:pPr>
        <w:ind w:left="-5"/>
      </w:pPr>
      <w:r>
        <w:t xml:space="preserve">A Monitoring and Evaluation Plan has been developed by Capita for the South East Blackburn scheme, and forms Appendix C to the SOBC.  </w:t>
      </w:r>
    </w:p>
    <w:p w:rsidR="00B82E21" w:rsidRDefault="00FE645E">
      <w:pPr>
        <w:ind w:left="-5"/>
      </w:pPr>
      <w:r>
        <w:t xml:space="preserve">The Monitoring and Evaluation section of the SOBC (section 5.8) summarises the range of metrics which </w:t>
      </w:r>
      <w:proofErr w:type="spellStart"/>
      <w:r>
        <w:t>BwDBC</w:t>
      </w:r>
      <w:proofErr w:type="spellEnd"/>
      <w:r>
        <w:t xml:space="preserve"> aim to assess. The following metrics are relevant to the economic outputs section; </w:t>
      </w:r>
    </w:p>
    <w:p w:rsidR="00B82E21" w:rsidRDefault="00FE645E">
      <w:pPr>
        <w:numPr>
          <w:ilvl w:val="0"/>
          <w:numId w:val="4"/>
        </w:numPr>
        <w:ind w:hanging="425"/>
      </w:pPr>
      <w:r>
        <w:rPr>
          <w:b/>
        </w:rPr>
        <w:t>Jobs connected to the intervention</w:t>
      </w:r>
      <w:r>
        <w:t xml:space="preserve"> (annual): Rate of delivery to</w:t>
      </w:r>
      <w:r>
        <w:t xml:space="preserve"> be monitored by </w:t>
      </w:r>
      <w:proofErr w:type="spellStart"/>
      <w:r>
        <w:t>BwDBC</w:t>
      </w:r>
      <w:proofErr w:type="spellEnd"/>
      <w:r>
        <w:t xml:space="preserve"> and reported. </w:t>
      </w:r>
    </w:p>
    <w:p w:rsidR="00B82E21" w:rsidRDefault="00FE645E">
      <w:pPr>
        <w:numPr>
          <w:ilvl w:val="0"/>
          <w:numId w:val="4"/>
        </w:numPr>
        <w:ind w:hanging="425"/>
      </w:pPr>
      <w:r>
        <w:rPr>
          <w:b/>
        </w:rPr>
        <w:t xml:space="preserve">Commercial </w:t>
      </w:r>
      <w:proofErr w:type="spellStart"/>
      <w:r>
        <w:rPr>
          <w:b/>
        </w:rPr>
        <w:t>floorspace</w:t>
      </w:r>
      <w:proofErr w:type="spellEnd"/>
      <w:r>
        <w:rPr>
          <w:b/>
        </w:rPr>
        <w:t xml:space="preserve"> constructed</w:t>
      </w:r>
      <w:r>
        <w:t xml:space="preserve"> (annual): Rate of delivery to be monitored by </w:t>
      </w:r>
      <w:proofErr w:type="spellStart"/>
      <w:r>
        <w:t>BwDBC</w:t>
      </w:r>
      <w:proofErr w:type="spellEnd"/>
      <w:r>
        <w:t xml:space="preserve"> and reported. </w:t>
      </w:r>
    </w:p>
    <w:p w:rsidR="00B82E21" w:rsidRDefault="00FE645E">
      <w:pPr>
        <w:numPr>
          <w:ilvl w:val="0"/>
          <w:numId w:val="4"/>
        </w:numPr>
        <w:ind w:hanging="425"/>
      </w:pPr>
      <w:r>
        <w:rPr>
          <w:b/>
        </w:rPr>
        <w:t>Commercial floor space occupied</w:t>
      </w:r>
      <w:r>
        <w:t xml:space="preserve"> (annual): to be identified and reported to the LEP annually. </w:t>
      </w:r>
    </w:p>
    <w:p w:rsidR="00B82E21" w:rsidRDefault="00FE645E">
      <w:pPr>
        <w:numPr>
          <w:ilvl w:val="0"/>
          <w:numId w:val="4"/>
        </w:numPr>
        <w:ind w:hanging="425"/>
      </w:pPr>
      <w:r>
        <w:rPr>
          <w:b/>
        </w:rPr>
        <w:t>Housing unit starts</w:t>
      </w:r>
      <w:r>
        <w:t xml:space="preserve"> (an</w:t>
      </w:r>
      <w:r>
        <w:t xml:space="preserve">nual): Rate of delivery to be monitored by </w:t>
      </w:r>
      <w:proofErr w:type="spellStart"/>
      <w:r>
        <w:t>BwDBC</w:t>
      </w:r>
      <w:proofErr w:type="spellEnd"/>
      <w:r>
        <w:t xml:space="preserve"> and reported. </w:t>
      </w:r>
    </w:p>
    <w:p w:rsidR="00B82E21" w:rsidRDefault="00FE645E">
      <w:pPr>
        <w:numPr>
          <w:ilvl w:val="0"/>
          <w:numId w:val="4"/>
        </w:numPr>
        <w:ind w:hanging="425"/>
      </w:pPr>
      <w:r>
        <w:rPr>
          <w:b/>
        </w:rPr>
        <w:t>Housing unit completed</w:t>
      </w:r>
      <w:r>
        <w:t xml:space="preserve"> (annual): Rate of delivery to be monitored by </w:t>
      </w:r>
      <w:proofErr w:type="spellStart"/>
      <w:r>
        <w:t>BwDBC</w:t>
      </w:r>
      <w:proofErr w:type="spellEnd"/>
      <w:r>
        <w:t xml:space="preserve"> and reported. </w:t>
      </w:r>
    </w:p>
    <w:p w:rsidR="00B82E21" w:rsidRDefault="00FE645E">
      <w:pPr>
        <w:numPr>
          <w:ilvl w:val="0"/>
          <w:numId w:val="4"/>
        </w:numPr>
        <w:ind w:hanging="425"/>
      </w:pPr>
      <w:r>
        <w:rPr>
          <w:b/>
        </w:rPr>
        <w:t>Follow-on investment at site</w:t>
      </w:r>
      <w:r>
        <w:t xml:space="preserve"> (annual): Any further transport investment which may come via s106 contri</w:t>
      </w:r>
      <w:r>
        <w:t xml:space="preserve">butions from developers to improve the active travel and public transport infrastructure in the local area will be monitored. </w:t>
      </w:r>
    </w:p>
    <w:p w:rsidR="00B82E21" w:rsidRDefault="00FE645E">
      <w:pPr>
        <w:spacing w:after="235"/>
        <w:ind w:left="-5"/>
      </w:pPr>
      <w:r>
        <w:t>In addition, the Monitoring and Evaluation Plan makes clear that these metrics will be specifically monitored for the development</w:t>
      </w:r>
      <w:r>
        <w:t xml:space="preserve"> sites identified as being dependent on the scheme. </w:t>
      </w:r>
    </w:p>
    <w:p w:rsidR="00B82E21" w:rsidRDefault="00FE645E">
      <w:pPr>
        <w:spacing w:after="28" w:line="259" w:lineRule="auto"/>
        <w:ind w:left="0" w:firstLine="0"/>
      </w:pPr>
      <w:r>
        <w:rPr>
          <w:color w:val="808080"/>
          <w:sz w:val="16"/>
        </w:rPr>
        <w:t xml:space="preserve"> </w:t>
      </w:r>
    </w:p>
    <w:p w:rsidR="00B82E21" w:rsidRDefault="00FE645E" w:rsidP="00FE645E">
      <w:pPr>
        <w:spacing w:after="42" w:line="259" w:lineRule="auto"/>
        <w:ind w:left="0" w:firstLine="0"/>
      </w:pPr>
      <w:r>
        <w:rPr>
          <w:b/>
          <w:color w:val="808080"/>
          <w:sz w:val="16"/>
        </w:rPr>
        <w:t xml:space="preserve"> </w:t>
      </w:r>
      <w:r>
        <w:rPr>
          <w:color w:val="808080"/>
          <w:sz w:val="16"/>
        </w:rPr>
        <w:t xml:space="preserve"> </w:t>
      </w:r>
    </w:p>
    <w:sectPr w:rsidR="00B82E21">
      <w:pgSz w:w="11906" w:h="16841"/>
      <w:pgMar w:top="680" w:right="1437" w:bottom="57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E1F57"/>
    <w:multiLevelType w:val="hybridMultilevel"/>
    <w:tmpl w:val="E4926CEA"/>
    <w:lvl w:ilvl="0" w:tplc="D09A5F40">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AAC2F78">
      <w:start w:val="1"/>
      <w:numFmt w:val="bullet"/>
      <w:lvlText w:val="o"/>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228A684">
      <w:start w:val="1"/>
      <w:numFmt w:val="bullet"/>
      <w:lvlText w:val="▪"/>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B40612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A368D00">
      <w:start w:val="1"/>
      <w:numFmt w:val="bullet"/>
      <w:lvlText w:val="o"/>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FBABAE4">
      <w:start w:val="1"/>
      <w:numFmt w:val="bullet"/>
      <w:lvlText w:val="▪"/>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76ECDA8">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A2E1B16">
      <w:start w:val="1"/>
      <w:numFmt w:val="bullet"/>
      <w:lvlText w:val="o"/>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9020544">
      <w:start w:val="1"/>
      <w:numFmt w:val="bullet"/>
      <w:lvlText w:val="▪"/>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8426C6F"/>
    <w:multiLevelType w:val="hybridMultilevel"/>
    <w:tmpl w:val="37C608D0"/>
    <w:lvl w:ilvl="0" w:tplc="502E504A">
      <w:start w:val="1"/>
      <w:numFmt w:val="bullet"/>
      <w:lvlText w:val="▪"/>
      <w:lvlJc w:val="left"/>
      <w:pPr>
        <w:ind w:left="4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CCCFE38">
      <w:start w:val="1"/>
      <w:numFmt w:val="bullet"/>
      <w:lvlText w:val="o"/>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3660CA0">
      <w:start w:val="1"/>
      <w:numFmt w:val="bullet"/>
      <w:lvlText w:val="▪"/>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6E88C7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832FB62">
      <w:start w:val="1"/>
      <w:numFmt w:val="bullet"/>
      <w:lvlText w:val="o"/>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D9AB068">
      <w:start w:val="1"/>
      <w:numFmt w:val="bullet"/>
      <w:lvlText w:val="▪"/>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0AA606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7009BE8">
      <w:start w:val="1"/>
      <w:numFmt w:val="bullet"/>
      <w:lvlText w:val="o"/>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F661382">
      <w:start w:val="1"/>
      <w:numFmt w:val="bullet"/>
      <w:lvlText w:val="▪"/>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57563D07"/>
    <w:multiLevelType w:val="hybridMultilevel"/>
    <w:tmpl w:val="E0A248C4"/>
    <w:lvl w:ilvl="0" w:tplc="13F611B8">
      <w:start w:val="1"/>
      <w:numFmt w:val="bullet"/>
      <w:lvlText w:val="▪"/>
      <w:lvlJc w:val="left"/>
      <w:pPr>
        <w:ind w:left="4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7227FDE">
      <w:start w:val="1"/>
      <w:numFmt w:val="bullet"/>
      <w:lvlText w:val="o"/>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5627BE4">
      <w:start w:val="1"/>
      <w:numFmt w:val="bullet"/>
      <w:lvlText w:val="▪"/>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484FC0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6F849DE">
      <w:start w:val="1"/>
      <w:numFmt w:val="bullet"/>
      <w:lvlText w:val="o"/>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F629270">
      <w:start w:val="1"/>
      <w:numFmt w:val="bullet"/>
      <w:lvlText w:val="▪"/>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0448A28">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6C4F7EE">
      <w:start w:val="1"/>
      <w:numFmt w:val="bullet"/>
      <w:lvlText w:val="o"/>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422CC92">
      <w:start w:val="1"/>
      <w:numFmt w:val="bullet"/>
      <w:lvlText w:val="▪"/>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58AD3D0F"/>
    <w:multiLevelType w:val="hybridMultilevel"/>
    <w:tmpl w:val="2FCC2AB8"/>
    <w:lvl w:ilvl="0" w:tplc="3544045C">
      <w:start w:val="1"/>
      <w:numFmt w:val="bullet"/>
      <w:lvlText w:val="▪"/>
      <w:lvlJc w:val="left"/>
      <w:pPr>
        <w:ind w:left="4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536A75E">
      <w:start w:val="1"/>
      <w:numFmt w:val="bullet"/>
      <w:lvlText w:val="o"/>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4F8296C">
      <w:start w:val="1"/>
      <w:numFmt w:val="bullet"/>
      <w:lvlText w:val="▪"/>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514B61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8E8F066">
      <w:start w:val="1"/>
      <w:numFmt w:val="bullet"/>
      <w:lvlText w:val="o"/>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FB6FED0">
      <w:start w:val="1"/>
      <w:numFmt w:val="bullet"/>
      <w:lvlText w:val="▪"/>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9040A3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D303A24">
      <w:start w:val="1"/>
      <w:numFmt w:val="bullet"/>
      <w:lvlText w:val="o"/>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65498FA">
      <w:start w:val="1"/>
      <w:numFmt w:val="bullet"/>
      <w:lvlText w:val="▪"/>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21"/>
    <w:rsid w:val="00B82E21"/>
    <w:rsid w:val="00FE6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EDBEB"/>
  <w15:docId w15:val="{B959F719-03F7-4CDF-8A2A-421402B0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0" w:line="261" w:lineRule="auto"/>
      <w:ind w:left="10" w:hanging="10"/>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0"/>
      <w:ind w:left="10" w:right="1087" w:hanging="10"/>
      <w:jc w:val="right"/>
      <w:outlineLvl w:val="0"/>
    </w:pPr>
    <w:rPr>
      <w:rFonts w:ascii="Calibri" w:eastAsia="Calibri" w:hAnsi="Calibri" w:cs="Calibri"/>
      <w:color w:val="6C6F70"/>
      <w:sz w:val="32"/>
    </w:rPr>
  </w:style>
  <w:style w:type="paragraph" w:styleId="Heading2">
    <w:name w:val="heading 2"/>
    <w:next w:val="Normal"/>
    <w:link w:val="Heading2Char"/>
    <w:uiPriority w:val="9"/>
    <w:unhideWhenUsed/>
    <w:qFormat/>
    <w:pPr>
      <w:keepNext/>
      <w:keepLines/>
      <w:spacing w:after="233"/>
      <w:ind w:left="10" w:hanging="10"/>
      <w:outlineLvl w:val="1"/>
    </w:pPr>
    <w:rPr>
      <w:rFonts w:ascii="Calibri" w:eastAsia="Calibri" w:hAnsi="Calibri" w:cs="Calibri"/>
      <w:b/>
      <w:color w:val="000000"/>
      <w:sz w:val="20"/>
    </w:rPr>
  </w:style>
  <w:style w:type="paragraph" w:styleId="Heading3">
    <w:name w:val="heading 3"/>
    <w:next w:val="Normal"/>
    <w:link w:val="Heading3Char"/>
    <w:uiPriority w:val="9"/>
    <w:unhideWhenUsed/>
    <w:qFormat/>
    <w:pPr>
      <w:keepNext/>
      <w:keepLines/>
      <w:spacing w:after="233"/>
      <w:ind w:left="10" w:hanging="10"/>
      <w:outlineLvl w:val="2"/>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6C6F70"/>
      <w:sz w:val="32"/>
    </w:rPr>
  </w:style>
  <w:style w:type="character" w:customStyle="1" w:styleId="Heading2Char">
    <w:name w:val="Heading 2 Char"/>
    <w:link w:val="Heading2"/>
    <w:rPr>
      <w:rFonts w:ascii="Calibri" w:eastAsia="Calibri" w:hAnsi="Calibri" w:cs="Calibri"/>
      <w:b/>
      <w:color w:val="000000"/>
      <w:sz w:val="20"/>
    </w:rPr>
  </w:style>
  <w:style w:type="character" w:customStyle="1" w:styleId="Heading3Char">
    <w:name w:val="Heading 3 Char"/>
    <w:link w:val="Heading3"/>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671</Words>
  <Characters>3826</Characters>
  <Application>Microsoft Office Word</Application>
  <DocSecurity>0</DocSecurity>
  <Lines>31</Lines>
  <Paragraphs>8</Paragraphs>
  <ScaleCrop>false</ScaleCrop>
  <Company>Lancashire County Council</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Rawcliffe, Cath</dc:creator>
  <cp:keywords/>
  <cp:lastModifiedBy>Rawcliffe, Cath</cp:lastModifiedBy>
  <cp:revision>2</cp:revision>
  <dcterms:created xsi:type="dcterms:W3CDTF">2020-01-21T09:47:00Z</dcterms:created>
  <dcterms:modified xsi:type="dcterms:W3CDTF">2020-01-21T09:47:00Z</dcterms:modified>
</cp:coreProperties>
</file>